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1E3A" w14:textId="77777777" w:rsidR="00AC315C" w:rsidRPr="00AC315C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  <w:b/>
          <w:lang w:val="en-US"/>
        </w:rPr>
      </w:pPr>
      <w:bookmarkStart w:id="0" w:name="_GoBack"/>
      <w:bookmarkEnd w:id="0"/>
      <w:proofErr w:type="spellStart"/>
      <w:r w:rsidRPr="00AC315C">
        <w:rPr>
          <w:rFonts w:asciiTheme="majorHAnsi" w:hAnsiTheme="majorHAnsi"/>
          <w:b/>
          <w:lang w:val="en-US"/>
        </w:rPr>
        <w:t>Altersbilder</w:t>
      </w:r>
      <w:proofErr w:type="spellEnd"/>
      <w:r w:rsidRPr="00AC315C">
        <w:rPr>
          <w:rFonts w:asciiTheme="majorHAnsi" w:hAnsiTheme="majorHAnsi"/>
          <w:b/>
          <w:lang w:val="en-US"/>
        </w:rPr>
        <w:t xml:space="preserve">: </w:t>
      </w:r>
      <w:proofErr w:type="spellStart"/>
      <w:r w:rsidRPr="00AC315C">
        <w:rPr>
          <w:rFonts w:asciiTheme="majorHAnsi" w:hAnsiTheme="majorHAnsi"/>
          <w:b/>
          <w:lang w:val="en-US"/>
        </w:rPr>
        <w:t>Weiterführende</w:t>
      </w:r>
      <w:proofErr w:type="spellEnd"/>
      <w:r w:rsidRPr="00AC315C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C315C">
        <w:rPr>
          <w:rFonts w:asciiTheme="majorHAnsi" w:hAnsiTheme="majorHAnsi"/>
          <w:b/>
          <w:lang w:val="en-US"/>
        </w:rPr>
        <w:t>Literatur</w:t>
      </w:r>
      <w:proofErr w:type="spellEnd"/>
    </w:p>
    <w:p w14:paraId="2A869613" w14:textId="77777777" w:rsidR="00AC315C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  <w:lang w:val="en-US"/>
        </w:rPr>
      </w:pPr>
    </w:p>
    <w:p w14:paraId="08382C2D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  <w:color w:val="000000"/>
        </w:rPr>
      </w:pPr>
      <w:r w:rsidRPr="000235E1">
        <w:rPr>
          <w:rFonts w:asciiTheme="majorHAnsi" w:hAnsiTheme="majorHAnsi"/>
          <w:color w:val="000000"/>
        </w:rPr>
        <w:t xml:space="preserve">Amann, Anton (2010). </w:t>
      </w:r>
      <w:r w:rsidRPr="000235E1">
        <w:rPr>
          <w:rFonts w:asciiTheme="majorHAnsi" w:hAnsiTheme="majorHAnsi"/>
          <w:i/>
          <w:color w:val="000000"/>
        </w:rPr>
        <w:t>Sozialprodukt des Alters.</w:t>
      </w:r>
      <w:r w:rsidRPr="000235E1">
        <w:rPr>
          <w:rFonts w:asciiTheme="majorHAnsi" w:hAnsiTheme="majorHAnsi"/>
          <w:color w:val="000000"/>
        </w:rPr>
        <w:t xml:space="preserve"> Wien: Böhlau.</w:t>
      </w:r>
    </w:p>
    <w:p w14:paraId="6E036295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  <w:color w:val="000000"/>
        </w:rPr>
      </w:pPr>
      <w:r w:rsidRPr="000235E1">
        <w:rPr>
          <w:rFonts w:asciiTheme="majorHAnsi" w:hAnsiTheme="majorHAnsi"/>
          <w:color w:val="000000"/>
        </w:rPr>
        <w:t xml:space="preserve">Amann, Anton &amp; Kolland, Franz (Hrsg.) (2014). </w:t>
      </w:r>
      <w:r w:rsidRPr="000235E1">
        <w:rPr>
          <w:rFonts w:asciiTheme="majorHAnsi" w:hAnsiTheme="majorHAnsi"/>
          <w:i/>
          <w:color w:val="000000"/>
        </w:rPr>
        <w:t>Das erzwungene Paradies des Alters? Weitere Fragen an eine Kritische Gerontologie.</w:t>
      </w:r>
      <w:r w:rsidRPr="000235E1">
        <w:rPr>
          <w:rFonts w:asciiTheme="majorHAnsi" w:hAnsiTheme="majorHAnsi"/>
          <w:color w:val="000000"/>
        </w:rPr>
        <w:t xml:space="preserve"> Wiesbaden: Springer. 2. Aufl.</w:t>
      </w:r>
    </w:p>
    <w:p w14:paraId="12E9DCBA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Style w:val="style2"/>
          <w:rFonts w:asciiTheme="majorHAnsi" w:hAnsiTheme="majorHAnsi"/>
          <w:color w:val="000000" w:themeColor="text1"/>
        </w:rPr>
      </w:pPr>
      <w:r w:rsidRPr="000235E1">
        <w:rPr>
          <w:rStyle w:val="style2"/>
          <w:rFonts w:asciiTheme="majorHAnsi" w:hAnsiTheme="majorHAnsi"/>
          <w:color w:val="000000" w:themeColor="text1"/>
        </w:rPr>
        <w:t xml:space="preserve">Amrhein, Ludwig &amp; Backes, Gertrud M. (2007). Alternsbilder und Diskurse des Alterns, </w:t>
      </w:r>
      <w:r w:rsidRPr="000235E1">
        <w:rPr>
          <w:rStyle w:val="style2"/>
          <w:rFonts w:asciiTheme="majorHAnsi" w:hAnsiTheme="majorHAnsi"/>
          <w:i/>
          <w:color w:val="000000" w:themeColor="text1"/>
        </w:rPr>
        <w:t>Zeitschrift für Gerontologie und Geriatrie,</w:t>
      </w:r>
      <w:r w:rsidRPr="000235E1">
        <w:rPr>
          <w:rStyle w:val="style2"/>
          <w:rFonts w:asciiTheme="majorHAnsi" w:hAnsiTheme="majorHAnsi"/>
          <w:color w:val="000000" w:themeColor="text1"/>
        </w:rPr>
        <w:t xml:space="preserve"> 40(2), 104-111. </w:t>
      </w:r>
    </w:p>
    <w:p w14:paraId="30C582F2" w14:textId="77777777" w:rsidR="00AC315C" w:rsidRPr="000235E1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</w:rPr>
      </w:pPr>
      <w:proofErr w:type="spellStart"/>
      <w:r w:rsidRPr="000235E1">
        <w:rPr>
          <w:rFonts w:asciiTheme="majorHAnsi" w:hAnsiTheme="majorHAnsi"/>
        </w:rPr>
        <w:t>Borscheid</w:t>
      </w:r>
      <w:proofErr w:type="spellEnd"/>
      <w:r w:rsidRPr="000235E1">
        <w:rPr>
          <w:rFonts w:asciiTheme="majorHAnsi" w:hAnsiTheme="majorHAnsi"/>
        </w:rPr>
        <w:t xml:space="preserve">, Peter (1987). </w:t>
      </w:r>
      <w:r w:rsidRPr="000235E1">
        <w:rPr>
          <w:rFonts w:asciiTheme="majorHAnsi" w:hAnsiTheme="majorHAnsi"/>
          <w:i/>
        </w:rPr>
        <w:t>Geschichte des Alters. 16.-18. Jahrhundert.</w:t>
      </w:r>
      <w:r w:rsidRPr="000235E1">
        <w:rPr>
          <w:rFonts w:asciiTheme="majorHAnsi" w:hAnsiTheme="majorHAnsi"/>
        </w:rPr>
        <w:t xml:space="preserve"> Münster: F. </w:t>
      </w:r>
      <w:proofErr w:type="spellStart"/>
      <w:r w:rsidRPr="000235E1">
        <w:rPr>
          <w:rFonts w:asciiTheme="majorHAnsi" w:hAnsiTheme="majorHAnsi"/>
        </w:rPr>
        <w:t>Coppenrath</w:t>
      </w:r>
      <w:proofErr w:type="spellEnd"/>
      <w:r w:rsidRPr="000235E1">
        <w:rPr>
          <w:rFonts w:asciiTheme="majorHAnsi" w:hAnsiTheme="majorHAnsi"/>
        </w:rPr>
        <w:t xml:space="preserve">. </w:t>
      </w:r>
    </w:p>
    <w:p w14:paraId="243D3A4F" w14:textId="77777777" w:rsidR="00AC315C" w:rsidRPr="000235E1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  <w:lang w:val="en-GB"/>
        </w:rPr>
      </w:pPr>
      <w:proofErr w:type="spellStart"/>
      <w:r w:rsidRPr="000235E1">
        <w:rPr>
          <w:rFonts w:asciiTheme="majorHAnsi" w:hAnsiTheme="majorHAnsi"/>
        </w:rPr>
        <w:t>Borscheid</w:t>
      </w:r>
      <w:proofErr w:type="spellEnd"/>
      <w:r w:rsidRPr="000235E1">
        <w:rPr>
          <w:rFonts w:asciiTheme="majorHAnsi" w:hAnsiTheme="majorHAnsi"/>
        </w:rPr>
        <w:t xml:space="preserve">, Peter (1990). Zum Verhältnis der Generationen zwischen den Revolutionen 1845/1918. </w:t>
      </w:r>
      <w:proofErr w:type="spellStart"/>
      <w:r w:rsidRPr="000235E1">
        <w:rPr>
          <w:rFonts w:asciiTheme="majorHAnsi" w:hAnsiTheme="majorHAnsi"/>
          <w:i/>
          <w:lang w:val="en-GB"/>
        </w:rPr>
        <w:t>Archiv</w:t>
      </w:r>
      <w:proofErr w:type="spellEnd"/>
      <w:r w:rsidRPr="000235E1">
        <w:rPr>
          <w:rFonts w:asciiTheme="majorHAnsi" w:hAnsiTheme="majorHAnsi"/>
          <w:i/>
          <w:lang w:val="en-GB"/>
        </w:rPr>
        <w:t xml:space="preserve"> für </w:t>
      </w:r>
      <w:proofErr w:type="spellStart"/>
      <w:r w:rsidRPr="000235E1">
        <w:rPr>
          <w:rFonts w:asciiTheme="majorHAnsi" w:hAnsiTheme="majorHAnsi"/>
          <w:i/>
          <w:lang w:val="en-GB"/>
        </w:rPr>
        <w:t>Sozialgeschichte</w:t>
      </w:r>
      <w:proofErr w:type="spellEnd"/>
      <w:r w:rsidRPr="000235E1">
        <w:rPr>
          <w:rFonts w:asciiTheme="majorHAnsi" w:hAnsiTheme="majorHAnsi"/>
          <w:lang w:val="en-GB"/>
        </w:rPr>
        <w:t>, 30 (1), 1-14.</w:t>
      </w:r>
    </w:p>
    <w:p w14:paraId="5BF2AB9C" w14:textId="77777777" w:rsidR="00AC315C" w:rsidRPr="000235E1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  <w:lang w:val="en-GB"/>
        </w:rPr>
      </w:pPr>
      <w:r w:rsidRPr="000235E1">
        <w:rPr>
          <w:rFonts w:asciiTheme="majorHAnsi" w:hAnsiTheme="majorHAnsi"/>
          <w:lang w:val="en-GB"/>
        </w:rPr>
        <w:t xml:space="preserve">Butler, Robert (1969). Age-Ism. Another form of Bigotry. </w:t>
      </w:r>
      <w:r w:rsidRPr="000235E1">
        <w:rPr>
          <w:rFonts w:asciiTheme="majorHAnsi" w:hAnsiTheme="majorHAnsi"/>
          <w:i/>
          <w:lang w:val="en-GB"/>
        </w:rPr>
        <w:t>The Gerontologist</w:t>
      </w:r>
      <w:r w:rsidRPr="000235E1">
        <w:rPr>
          <w:rFonts w:asciiTheme="majorHAnsi" w:hAnsiTheme="majorHAnsi"/>
          <w:lang w:val="en-GB"/>
        </w:rPr>
        <w:t>, 9 (4)</w:t>
      </w:r>
      <w:proofErr w:type="gramStart"/>
      <w:r w:rsidRPr="000235E1">
        <w:rPr>
          <w:rFonts w:asciiTheme="majorHAnsi" w:hAnsiTheme="majorHAnsi"/>
          <w:lang w:val="en-GB"/>
        </w:rPr>
        <w:t>,  243</w:t>
      </w:r>
      <w:proofErr w:type="gramEnd"/>
      <w:r w:rsidRPr="000235E1">
        <w:rPr>
          <w:rFonts w:asciiTheme="majorHAnsi" w:hAnsiTheme="majorHAnsi"/>
          <w:lang w:val="en-GB"/>
        </w:rPr>
        <w:t>-246.</w:t>
      </w:r>
    </w:p>
    <w:p w14:paraId="07AE6162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Ciesinger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Kurt-Georg (2015). Identifikation von Innovationspotentialen in Erwerbsbiographien. In: Dill, Helga &amp;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Keupp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Heiner (Hrsg.). Der Alterskraftunternehmer. Bielefeld: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transcript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183–199.</w:t>
      </w:r>
    </w:p>
    <w:p w14:paraId="47DA9AAF" w14:textId="77777777" w:rsidR="00AC315C" w:rsidRPr="000235E1" w:rsidRDefault="00AC315C" w:rsidP="00AC315C">
      <w:pPr>
        <w:spacing w:before="0" w:after="0" w:line="240" w:lineRule="auto"/>
        <w:ind w:left="709" w:hanging="709"/>
        <w:rPr>
          <w:rFonts w:asciiTheme="majorHAnsi" w:hAnsiTheme="majorHAnsi"/>
        </w:rPr>
      </w:pPr>
      <w:r w:rsidRPr="000235E1">
        <w:rPr>
          <w:rFonts w:asciiTheme="majorHAnsi" w:hAnsiTheme="majorHAnsi"/>
        </w:rPr>
        <w:t xml:space="preserve">Ebel, Thomas (1987). </w:t>
      </w:r>
      <w:r w:rsidRPr="000235E1">
        <w:rPr>
          <w:rFonts w:asciiTheme="majorHAnsi" w:hAnsiTheme="majorHAnsi"/>
          <w:i/>
        </w:rPr>
        <w:t>Der alte Mensch und sein Bild in der Gesellschaft</w:t>
      </w:r>
      <w:r w:rsidRPr="000235E1">
        <w:rPr>
          <w:rFonts w:asciiTheme="majorHAnsi" w:hAnsiTheme="majorHAnsi"/>
        </w:rPr>
        <w:t xml:space="preserve">. Frankfurt am Main: </w:t>
      </w:r>
      <w:proofErr w:type="spellStart"/>
      <w:r w:rsidRPr="000235E1">
        <w:rPr>
          <w:rFonts w:asciiTheme="majorHAnsi" w:hAnsiTheme="majorHAnsi"/>
        </w:rPr>
        <w:t>dipa</w:t>
      </w:r>
      <w:proofErr w:type="spellEnd"/>
      <w:r w:rsidRPr="000235E1">
        <w:rPr>
          <w:rFonts w:asciiTheme="majorHAnsi" w:hAnsiTheme="majorHAnsi"/>
        </w:rPr>
        <w:t xml:space="preserve">-Verlag. </w:t>
      </w:r>
    </w:p>
    <w:p w14:paraId="286CFA40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eastAsia="Times New Roman" w:hAnsiTheme="majorHAnsi" w:cs="Times New Roman"/>
          <w:color w:val="000000" w:themeColor="text1"/>
          <w:lang w:val="de-AT"/>
        </w:rPr>
      </w:pPr>
      <w:r w:rsidRPr="000235E1">
        <w:rPr>
          <w:rFonts w:asciiTheme="majorHAnsi" w:hAnsiTheme="majorHAnsi" w:cs="Times New Roman"/>
          <w:color w:val="000000" w:themeColor="text1"/>
        </w:rPr>
        <w:t xml:space="preserve">Ehrenberg, Alain (2004). </w:t>
      </w:r>
      <w:r w:rsidRPr="000235E1">
        <w:rPr>
          <w:rFonts w:asciiTheme="majorHAnsi" w:eastAsia="Times New Roman" w:hAnsiTheme="majorHAnsi" w:cs="Times New Roman"/>
          <w:iCs/>
          <w:color w:val="000000" w:themeColor="text1"/>
          <w:lang w:val="de-AT"/>
        </w:rPr>
        <w:t>Das erschöpfte Selbst</w:t>
      </w:r>
      <w:r w:rsidRPr="000235E1">
        <w:rPr>
          <w:rFonts w:asciiTheme="majorHAnsi" w:eastAsia="Times New Roman" w:hAnsiTheme="majorHAnsi" w:cs="Times New Roman"/>
          <w:color w:val="000000" w:themeColor="text1"/>
          <w:lang w:val="de-AT"/>
        </w:rPr>
        <w:t>. Depression und Gesellschaft in der Gegenwart. Frankfurt am Main: Campus.</w:t>
      </w:r>
    </w:p>
    <w:p w14:paraId="77C93872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Featherstone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Mike &amp; Hepworth, Mike (1991). The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mask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of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ageing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and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the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postmodern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life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course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. In: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Featherstone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Mike, Hepworth, Mike &amp; Turner, Bryan S. (Hrsg.). </w:t>
      </w:r>
      <w:r w:rsidRPr="000235E1">
        <w:rPr>
          <w:rFonts w:asciiTheme="majorHAnsi" w:hAnsiTheme="majorHAnsi" w:cs="Times New Roman"/>
          <w:iCs/>
          <w:color w:val="000000" w:themeColor="text1"/>
        </w:rPr>
        <w:t xml:space="preserve">The Body: </w:t>
      </w:r>
      <w:proofErr w:type="spellStart"/>
      <w:r w:rsidRPr="000235E1">
        <w:rPr>
          <w:rFonts w:asciiTheme="majorHAnsi" w:hAnsiTheme="majorHAnsi" w:cs="Times New Roman"/>
          <w:iCs/>
          <w:color w:val="000000" w:themeColor="text1"/>
        </w:rPr>
        <w:t>Social</w:t>
      </w:r>
      <w:proofErr w:type="spellEnd"/>
      <w:r w:rsidRPr="000235E1">
        <w:rPr>
          <w:rFonts w:asciiTheme="majorHAnsi" w:hAnsiTheme="majorHAnsi" w:cs="Times New Roman"/>
          <w:iCs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iCs/>
          <w:color w:val="000000" w:themeColor="text1"/>
        </w:rPr>
        <w:t>Process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235E1">
        <w:rPr>
          <w:rFonts w:asciiTheme="majorHAnsi" w:hAnsiTheme="majorHAnsi" w:cs="Times New Roman"/>
          <w:iCs/>
          <w:color w:val="000000" w:themeColor="text1"/>
        </w:rPr>
        <w:t>and</w:t>
      </w:r>
      <w:proofErr w:type="spellEnd"/>
      <w:r w:rsidRPr="000235E1">
        <w:rPr>
          <w:rFonts w:asciiTheme="majorHAnsi" w:hAnsiTheme="majorHAnsi" w:cs="Times New Roman"/>
          <w:iCs/>
          <w:color w:val="000000" w:themeColor="text1"/>
        </w:rPr>
        <w:t xml:space="preserve"> Cultural </w:t>
      </w:r>
      <w:proofErr w:type="spellStart"/>
      <w:r w:rsidRPr="000235E1">
        <w:rPr>
          <w:rFonts w:asciiTheme="majorHAnsi" w:hAnsiTheme="majorHAnsi" w:cs="Times New Roman"/>
          <w:iCs/>
          <w:color w:val="000000" w:themeColor="text1"/>
        </w:rPr>
        <w:t>Theory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>. London: Sage, 371–389.</w:t>
      </w:r>
    </w:p>
    <w:p w14:paraId="7D876D63" w14:textId="77777777" w:rsidR="00AC315C" w:rsidRPr="000235E1" w:rsidRDefault="00AC315C" w:rsidP="00AC315C">
      <w:pPr>
        <w:spacing w:before="0" w:after="0" w:line="240" w:lineRule="auto"/>
        <w:ind w:left="567" w:hanging="567"/>
        <w:rPr>
          <w:rFonts w:asciiTheme="majorHAnsi" w:hAnsiTheme="majorHAnsi"/>
        </w:rPr>
      </w:pPr>
      <w:r w:rsidRPr="000235E1">
        <w:rPr>
          <w:rFonts w:asciiTheme="majorHAnsi" w:hAnsiTheme="majorHAnsi"/>
        </w:rPr>
        <w:t xml:space="preserve">Graefe, Stefanie, van </w:t>
      </w:r>
      <w:proofErr w:type="spellStart"/>
      <w:r w:rsidRPr="000235E1">
        <w:rPr>
          <w:rFonts w:asciiTheme="majorHAnsi" w:hAnsiTheme="majorHAnsi"/>
        </w:rPr>
        <w:t>Dyk</w:t>
      </w:r>
      <w:proofErr w:type="spellEnd"/>
      <w:r w:rsidRPr="000235E1">
        <w:rPr>
          <w:rFonts w:asciiTheme="majorHAnsi" w:hAnsiTheme="majorHAnsi"/>
        </w:rPr>
        <w:t xml:space="preserve">, Silke &amp; </w:t>
      </w:r>
      <w:proofErr w:type="spellStart"/>
      <w:r w:rsidRPr="000235E1">
        <w:rPr>
          <w:rFonts w:asciiTheme="majorHAnsi" w:hAnsiTheme="majorHAnsi"/>
        </w:rPr>
        <w:t>Lessenich</w:t>
      </w:r>
      <w:proofErr w:type="spellEnd"/>
      <w:r w:rsidRPr="000235E1">
        <w:rPr>
          <w:rFonts w:asciiTheme="majorHAnsi" w:hAnsiTheme="majorHAnsi"/>
        </w:rPr>
        <w:t xml:space="preserve">, Stephan (2011). </w:t>
      </w:r>
      <w:proofErr w:type="spellStart"/>
      <w:r w:rsidRPr="000235E1">
        <w:rPr>
          <w:rFonts w:asciiTheme="majorHAnsi" w:hAnsiTheme="majorHAnsi"/>
        </w:rPr>
        <w:t>Altsein</w:t>
      </w:r>
      <w:proofErr w:type="spellEnd"/>
      <w:r w:rsidRPr="000235E1">
        <w:rPr>
          <w:rFonts w:asciiTheme="majorHAnsi" w:hAnsiTheme="majorHAnsi"/>
        </w:rPr>
        <w:t xml:space="preserve"> ist später. Alter(n)</w:t>
      </w:r>
      <w:proofErr w:type="spellStart"/>
      <w:r w:rsidRPr="000235E1">
        <w:rPr>
          <w:rFonts w:asciiTheme="majorHAnsi" w:hAnsiTheme="majorHAnsi"/>
        </w:rPr>
        <w:t>snormen</w:t>
      </w:r>
      <w:proofErr w:type="spellEnd"/>
      <w:r w:rsidRPr="000235E1">
        <w:rPr>
          <w:rFonts w:asciiTheme="majorHAnsi" w:hAnsiTheme="majorHAnsi"/>
        </w:rPr>
        <w:t xml:space="preserve"> und Selbstkonzepte in der zweiten Lebenshälfte.  </w:t>
      </w:r>
      <w:r w:rsidRPr="000235E1">
        <w:rPr>
          <w:rFonts w:asciiTheme="majorHAnsi" w:hAnsiTheme="majorHAnsi"/>
          <w:i/>
        </w:rPr>
        <w:t>Zeitschrift für Gerontologie und Geriatrie 44</w:t>
      </w:r>
      <w:r w:rsidRPr="000235E1">
        <w:rPr>
          <w:rFonts w:asciiTheme="majorHAnsi" w:hAnsiTheme="majorHAnsi"/>
        </w:rPr>
        <w:t xml:space="preserve"> (5) 299–305.  </w:t>
      </w:r>
    </w:p>
    <w:p w14:paraId="4F7C7875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r w:rsidRPr="000235E1">
        <w:rPr>
          <w:rFonts w:asciiTheme="majorHAnsi" w:hAnsiTheme="majorHAnsi" w:cs="Times New Roman"/>
          <w:color w:val="000000" w:themeColor="text1"/>
        </w:rPr>
        <w:t>Grebe, Heinrich (2013). Selbstsorge im Angesicht von Verletzlichkeit und Endlichkeit: Facetten einer Lebenskunst des hohen Alters. In: Rentsch, Thomas, Zimmermann, Harm-Peer &amp; Kruse, Andreas (Hrsg.). Altern in unserer Zeit. Frankfurt am Main: Campus, 136–159.</w:t>
      </w:r>
    </w:p>
    <w:p w14:paraId="75260654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Güther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Helen &amp; Brandenburg, Hermann (2015). Das gute Leben. In: Dies. (Hrsg.). Lehrbuch Gerontologische Pflege. Stuttgart: Kohlhammer, 79–88. </w:t>
      </w:r>
    </w:p>
    <w:p w14:paraId="4ECDBEF3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eastAsia="Times New Roman" w:hAnsiTheme="majorHAnsi" w:cs="Times New Roman"/>
          <w:bCs/>
          <w:color w:val="000000" w:themeColor="text1"/>
        </w:rPr>
      </w:pPr>
      <w:r w:rsidRPr="000235E1">
        <w:rPr>
          <w:rFonts w:asciiTheme="majorHAnsi" w:eastAsia="Times New Roman" w:hAnsiTheme="majorHAnsi" w:cs="Times New Roman"/>
          <w:bCs/>
          <w:color w:val="000000" w:themeColor="text1"/>
          <w:lang w:val="de-AT"/>
        </w:rPr>
        <w:t xml:space="preserve">Imhof, Arthur E. (1988). Von der unsicheren zur sicheren Lebenszeit: fünf historisch-demographische Studien. </w:t>
      </w:r>
      <w:r w:rsidRPr="000235E1">
        <w:rPr>
          <w:rFonts w:asciiTheme="majorHAnsi" w:eastAsia="Times New Roman" w:hAnsiTheme="majorHAnsi" w:cs="Times New Roman"/>
          <w:bCs/>
          <w:color w:val="000000" w:themeColor="text1"/>
        </w:rPr>
        <w:t>Darmstadt: Wissenschaftliche Verlagsgesellschaft.</w:t>
      </w:r>
    </w:p>
    <w:p w14:paraId="462342A0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Keupp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>, Heiner (2008). Identitätskonstruktionen in der spätmodernen Gesellschaft. Zeitschrift für Psychodrama und Soziometrie, 7(2), 291–308.</w:t>
      </w:r>
    </w:p>
    <w:p w14:paraId="51BFBF81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Keupp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Heiner (2015). Alter ist auch nicht mehr das, was es einmal war! In: Dill, Helga &amp;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Keupp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Heiner (Hrsg.). Der Alterskraftunternehmer. Bielefeld: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transcript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>, 17–47.</w:t>
      </w:r>
    </w:p>
    <w:p w14:paraId="4422875D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color w:val="292526"/>
        </w:rPr>
      </w:pPr>
      <w:r w:rsidRPr="000235E1">
        <w:rPr>
          <w:rFonts w:asciiTheme="majorHAnsi" w:hAnsiTheme="majorHAnsi"/>
          <w:color w:val="292526"/>
        </w:rPr>
        <w:t xml:space="preserve">Kolland, Franz (1996). </w:t>
      </w:r>
      <w:r w:rsidRPr="000235E1">
        <w:rPr>
          <w:rFonts w:asciiTheme="majorHAnsi" w:hAnsiTheme="majorHAnsi"/>
          <w:i/>
          <w:color w:val="292526"/>
        </w:rPr>
        <w:t>Kulturstile im Alter.</w:t>
      </w:r>
      <w:r w:rsidRPr="000235E1">
        <w:rPr>
          <w:rFonts w:asciiTheme="majorHAnsi" w:hAnsiTheme="majorHAnsi"/>
          <w:color w:val="292526"/>
        </w:rPr>
        <w:t xml:space="preserve"> Wien: Böhlau.</w:t>
      </w:r>
    </w:p>
    <w:p w14:paraId="7BAFC9E8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</w:rPr>
      </w:pPr>
      <w:r w:rsidRPr="000235E1">
        <w:rPr>
          <w:rFonts w:asciiTheme="majorHAnsi" w:hAnsiTheme="majorHAnsi"/>
        </w:rPr>
        <w:t xml:space="preserve">Kolland, Franz &amp; </w:t>
      </w:r>
      <w:proofErr w:type="spellStart"/>
      <w:r w:rsidRPr="000235E1">
        <w:rPr>
          <w:rFonts w:asciiTheme="majorHAnsi" w:hAnsiTheme="majorHAnsi"/>
        </w:rPr>
        <w:t>Wanka</w:t>
      </w:r>
      <w:proofErr w:type="spellEnd"/>
      <w:r w:rsidRPr="000235E1">
        <w:rPr>
          <w:rFonts w:asciiTheme="majorHAnsi" w:hAnsiTheme="majorHAnsi"/>
        </w:rPr>
        <w:t xml:space="preserve">, Anna (2014). Die neue Lebensphase Alter. In: Wahl, Hans-Werner; Kruse, Andreas (Hrsg.). </w:t>
      </w:r>
      <w:r w:rsidRPr="000235E1">
        <w:rPr>
          <w:rFonts w:asciiTheme="majorHAnsi" w:hAnsiTheme="majorHAnsi"/>
          <w:i/>
        </w:rPr>
        <w:t>Lebensläufe im Wandel</w:t>
      </w:r>
      <w:r w:rsidRPr="000235E1">
        <w:rPr>
          <w:rFonts w:asciiTheme="majorHAnsi" w:hAnsiTheme="majorHAnsi"/>
        </w:rPr>
        <w:t xml:space="preserve">. Stuttgart: Kohlhammer, 185-200. </w:t>
      </w:r>
    </w:p>
    <w:p w14:paraId="21E1C24B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</w:rPr>
      </w:pPr>
      <w:proofErr w:type="spellStart"/>
      <w:r w:rsidRPr="000235E1">
        <w:rPr>
          <w:rFonts w:asciiTheme="majorHAnsi" w:hAnsiTheme="majorHAnsi"/>
        </w:rPr>
        <w:t>Kondratowitz</w:t>
      </w:r>
      <w:proofErr w:type="spellEnd"/>
      <w:r w:rsidRPr="000235E1">
        <w:rPr>
          <w:rFonts w:asciiTheme="majorHAnsi" w:hAnsiTheme="majorHAnsi"/>
        </w:rPr>
        <w:t xml:space="preserve">, Hans-Joachim v. (1989). Das Alter eine Last. </w:t>
      </w:r>
      <w:r w:rsidRPr="000235E1">
        <w:rPr>
          <w:rFonts w:asciiTheme="majorHAnsi" w:hAnsiTheme="majorHAnsi"/>
          <w:i/>
        </w:rPr>
        <w:t xml:space="preserve">Zeitschrift für </w:t>
      </w:r>
      <w:proofErr w:type="spellStart"/>
      <w:r w:rsidRPr="000235E1">
        <w:rPr>
          <w:rFonts w:asciiTheme="majorHAnsi" w:hAnsiTheme="majorHAnsi"/>
          <w:i/>
        </w:rPr>
        <w:t>Gerontopsychologie</w:t>
      </w:r>
      <w:proofErr w:type="spellEnd"/>
      <w:r w:rsidRPr="000235E1">
        <w:rPr>
          <w:rFonts w:asciiTheme="majorHAnsi" w:hAnsiTheme="majorHAnsi"/>
          <w:i/>
        </w:rPr>
        <w:t xml:space="preserve"> und Gerontopsychiatrie,</w:t>
      </w:r>
      <w:r w:rsidRPr="000235E1">
        <w:rPr>
          <w:rFonts w:asciiTheme="majorHAnsi" w:hAnsiTheme="majorHAnsi"/>
        </w:rPr>
        <w:t xml:space="preserve"> 2 (2), 107-112. </w:t>
      </w:r>
    </w:p>
    <w:p w14:paraId="6CE77835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</w:rPr>
      </w:pPr>
      <w:r w:rsidRPr="000235E1">
        <w:rPr>
          <w:rFonts w:asciiTheme="majorHAnsi" w:hAnsiTheme="majorHAnsi"/>
        </w:rPr>
        <w:t xml:space="preserve">Kruse, Andreas &amp; Schmitt, Eric (2005), Zur Veränderung des Altersbildes in Deutschland. </w:t>
      </w:r>
      <w:r w:rsidRPr="000235E1">
        <w:rPr>
          <w:rFonts w:asciiTheme="majorHAnsi" w:hAnsiTheme="majorHAnsi"/>
          <w:i/>
        </w:rPr>
        <w:t>Aus Politik und Zeitgeschichte</w:t>
      </w:r>
      <w:r w:rsidRPr="000235E1">
        <w:rPr>
          <w:rFonts w:asciiTheme="majorHAnsi" w:hAnsiTheme="majorHAnsi"/>
        </w:rPr>
        <w:t xml:space="preserve"> 49-50, 9-17. </w:t>
      </w:r>
    </w:p>
    <w:p w14:paraId="06FB759B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r w:rsidRPr="000235E1">
        <w:rPr>
          <w:rFonts w:asciiTheme="majorHAnsi" w:hAnsiTheme="majorHAnsi" w:cs="Times New Roman"/>
          <w:color w:val="000000" w:themeColor="text1"/>
        </w:rPr>
        <w:t>Kruse, Andreas &amp; Wahl, Hans-Werner (2010). Zukunft Altern. Heidelberg: Spektrum</w:t>
      </w:r>
    </w:p>
    <w:p w14:paraId="77DB6198" w14:textId="77777777" w:rsidR="00AC315C" w:rsidRPr="000235E1" w:rsidRDefault="00AC315C" w:rsidP="00AC315C">
      <w:pPr>
        <w:autoSpaceDE w:val="0"/>
        <w:spacing w:before="0" w:after="0" w:line="240" w:lineRule="auto"/>
        <w:ind w:left="709" w:hanging="709"/>
        <w:rPr>
          <w:rFonts w:asciiTheme="majorHAnsi" w:eastAsia="Times New Roman" w:hAnsiTheme="majorHAnsi" w:cs="Times New Roman"/>
          <w:color w:val="000000" w:themeColor="text1"/>
          <w:lang w:val="de-AT" w:eastAsia="de-DE"/>
        </w:rPr>
      </w:pPr>
      <w:proofErr w:type="spellStart"/>
      <w:r w:rsidRPr="000235E1">
        <w:rPr>
          <w:rFonts w:asciiTheme="majorHAnsi" w:eastAsia="Times New Roman" w:hAnsiTheme="majorHAnsi" w:cs="Times New Roman"/>
          <w:color w:val="000000" w:themeColor="text1"/>
          <w:lang w:val="de-AT" w:eastAsia="de-DE"/>
        </w:rPr>
        <w:t>Kumlehn</w:t>
      </w:r>
      <w:proofErr w:type="spellEnd"/>
      <w:r w:rsidRPr="000235E1">
        <w:rPr>
          <w:rFonts w:asciiTheme="majorHAnsi" w:eastAsia="Times New Roman" w:hAnsiTheme="majorHAnsi" w:cs="Times New Roman"/>
          <w:color w:val="000000" w:themeColor="text1"/>
          <w:lang w:val="de-AT" w:eastAsia="de-DE"/>
        </w:rPr>
        <w:t>, Martina &amp; Kubik, Andreas (2012). Konstrukte gelingenden Alterns. Stuttgart: Kohlhammer.</w:t>
      </w:r>
    </w:p>
    <w:p w14:paraId="363BFD74" w14:textId="77777777" w:rsidR="00AC315C" w:rsidRPr="000235E1" w:rsidRDefault="00AC315C" w:rsidP="00AC315C">
      <w:pPr>
        <w:pStyle w:val="WW-StandardWeb"/>
        <w:spacing w:before="0" w:after="0"/>
        <w:ind w:left="709" w:hanging="709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0235E1">
        <w:rPr>
          <w:rFonts w:asciiTheme="majorHAnsi" w:hAnsiTheme="majorHAnsi"/>
          <w:color w:val="000000" w:themeColor="text1"/>
          <w:sz w:val="20"/>
          <w:szCs w:val="20"/>
        </w:rPr>
        <w:t xml:space="preserve">Rentsch, Thomas (2013). Alt werden, alt sein – Philosophische Ethik der späten Lebenszeit. In: Rentsch, Thomas, Zimmermann, Harm-Peer &amp; Kruse, Andreas (Hrsg.). Altern in unserer Zeit. </w:t>
      </w:r>
      <w:r w:rsidRPr="000235E1">
        <w:rPr>
          <w:rFonts w:asciiTheme="majorHAnsi" w:hAnsiTheme="majorHAnsi"/>
          <w:color w:val="000000" w:themeColor="text1"/>
          <w:sz w:val="20"/>
          <w:szCs w:val="20"/>
          <w:lang w:val="en-US"/>
        </w:rPr>
        <w:t>Frankfurt am Main: Campus, 163–187.</w:t>
      </w:r>
    </w:p>
    <w:p w14:paraId="36772116" w14:textId="77777777" w:rsidR="00AC315C" w:rsidRPr="000235E1" w:rsidRDefault="00AC315C" w:rsidP="00AC315C">
      <w:pPr>
        <w:pStyle w:val="WW-StandardWeb"/>
        <w:spacing w:before="0" w:after="0"/>
        <w:ind w:left="709" w:hanging="709"/>
        <w:rPr>
          <w:rStyle w:val="apple-style-span"/>
          <w:rFonts w:asciiTheme="majorHAnsi" w:hAnsiTheme="majorHAnsi"/>
          <w:color w:val="000000" w:themeColor="text1"/>
          <w:sz w:val="20"/>
          <w:szCs w:val="20"/>
        </w:rPr>
      </w:pPr>
      <w:r w:rsidRPr="000235E1">
        <w:rPr>
          <w:rStyle w:val="apple-style-span"/>
          <w:rFonts w:asciiTheme="majorHAnsi" w:hAnsiTheme="majorHAnsi"/>
          <w:color w:val="000000" w:themeColor="text1"/>
          <w:sz w:val="20"/>
          <w:szCs w:val="20"/>
        </w:rPr>
        <w:t xml:space="preserve">Rosenmayr, Leopold (2013). Schritte zu einer Welt-Alternskultur. In: </w:t>
      </w:r>
      <w:proofErr w:type="spellStart"/>
      <w:r w:rsidRPr="000235E1">
        <w:rPr>
          <w:rStyle w:val="apple-style-span"/>
          <w:rFonts w:asciiTheme="majorHAnsi" w:hAnsiTheme="majorHAnsi"/>
          <w:color w:val="000000" w:themeColor="text1"/>
          <w:sz w:val="20"/>
          <w:szCs w:val="20"/>
        </w:rPr>
        <w:t>Ehalt</w:t>
      </w:r>
      <w:proofErr w:type="spellEnd"/>
      <w:r w:rsidRPr="000235E1">
        <w:rPr>
          <w:rStyle w:val="apple-style-span"/>
          <w:rFonts w:asciiTheme="majorHAnsi" w:hAnsiTheme="majorHAnsi"/>
          <w:color w:val="000000" w:themeColor="text1"/>
          <w:sz w:val="20"/>
          <w:szCs w:val="20"/>
        </w:rPr>
        <w:t>, Hubert C. (Hrsg.). Herausforderung Alter(n). Wien: Verlag Bibliothek der Provinz.</w:t>
      </w:r>
    </w:p>
    <w:p w14:paraId="133D0995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eastAsia="Times New Roman" w:hAnsiTheme="majorHAnsi" w:cs="Times New Roman"/>
          <w:color w:val="000000" w:themeColor="text1"/>
          <w:lang w:val="de-AT"/>
        </w:rPr>
      </w:pPr>
      <w:r w:rsidRPr="000235E1">
        <w:rPr>
          <w:rFonts w:asciiTheme="majorHAnsi" w:eastAsia="Times New Roman" w:hAnsiTheme="majorHAnsi" w:cs="Times New Roman"/>
          <w:color w:val="000000" w:themeColor="text1"/>
          <w:lang w:val="de-AT"/>
        </w:rPr>
        <w:t>Schroeter, Klaus R. (2014). Alte(r) in Bewegung – Alternde Körper zwischen Aufrichtung und Zurichtung. Education Permanente, 2: 32–34.</w:t>
      </w:r>
    </w:p>
    <w:p w14:paraId="27A562A3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/>
        </w:rPr>
      </w:pPr>
      <w:r w:rsidRPr="000235E1">
        <w:rPr>
          <w:rFonts w:asciiTheme="majorHAnsi" w:hAnsiTheme="majorHAnsi"/>
        </w:rPr>
        <w:t xml:space="preserve">Tews, Hans Peter (1993). </w:t>
      </w:r>
      <w:r w:rsidRPr="000235E1">
        <w:rPr>
          <w:rFonts w:asciiTheme="majorHAnsi" w:hAnsiTheme="majorHAnsi"/>
          <w:i/>
        </w:rPr>
        <w:t>Altersbilder. Über Wandel und Beeinflussung von Vorstellungen vom und Einstellungen zum Alter.</w:t>
      </w:r>
      <w:r w:rsidRPr="000235E1">
        <w:rPr>
          <w:rFonts w:asciiTheme="majorHAnsi" w:hAnsiTheme="majorHAnsi"/>
        </w:rPr>
        <w:t xml:space="preserve"> Köln: KDA.</w:t>
      </w:r>
    </w:p>
    <w:p w14:paraId="0EC5C1F6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Style w:val="reference-text"/>
          <w:rFonts w:asciiTheme="majorHAnsi" w:hAnsiTheme="majorHAnsi" w:cs="Times New Roman"/>
          <w:color w:val="000000" w:themeColor="text1"/>
          <w:lang w:eastAsia="ar-SA"/>
        </w:rPr>
      </w:pPr>
      <w:proofErr w:type="spellStart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Twigg</w:t>
      </w:r>
      <w:proofErr w:type="spellEnd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 xml:space="preserve">, Julia (2015). Dress </w:t>
      </w:r>
      <w:proofErr w:type="spellStart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and</w:t>
      </w:r>
      <w:proofErr w:type="spellEnd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 xml:space="preserve"> Age. In: </w:t>
      </w:r>
      <w:proofErr w:type="spellStart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Twigg</w:t>
      </w:r>
      <w:proofErr w:type="spellEnd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 xml:space="preserve">, Julia &amp; Martin, Wendy (Hrsg.). Routledge Handbook </w:t>
      </w:r>
      <w:proofErr w:type="spellStart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of</w:t>
      </w:r>
      <w:proofErr w:type="spellEnd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 xml:space="preserve"> Cultural </w:t>
      </w:r>
      <w:proofErr w:type="spellStart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Gerontology</w:t>
      </w:r>
      <w:proofErr w:type="spellEnd"/>
      <w:r w:rsidRPr="000235E1">
        <w:rPr>
          <w:rStyle w:val="reference-text"/>
          <w:rFonts w:asciiTheme="majorHAnsi" w:hAnsiTheme="majorHAnsi" w:cs="Times New Roman"/>
          <w:color w:val="000000" w:themeColor="text1"/>
        </w:rPr>
        <w:t>. London: Routledge, 149–156.</w:t>
      </w:r>
    </w:p>
    <w:p w14:paraId="53AEBD6D" w14:textId="77777777" w:rsidR="00AC315C" w:rsidRPr="000235E1" w:rsidRDefault="00AC315C" w:rsidP="00AC315C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ajorHAnsi" w:hAnsiTheme="majorHAnsi" w:cs="Times New Roman"/>
          <w:color w:val="000000" w:themeColor="text1"/>
        </w:rPr>
      </w:pPr>
      <w:proofErr w:type="spellStart"/>
      <w:r w:rsidRPr="000235E1">
        <w:rPr>
          <w:rFonts w:asciiTheme="majorHAnsi" w:hAnsiTheme="majorHAnsi" w:cs="Times New Roman"/>
          <w:color w:val="000000" w:themeColor="text1"/>
        </w:rPr>
        <w:t>Twigg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, Julia &amp; Martin, Wendy (2015). The Challenge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of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 Cultural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Gerontology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 xml:space="preserve">. The </w:t>
      </w:r>
      <w:proofErr w:type="spellStart"/>
      <w:r w:rsidRPr="000235E1">
        <w:rPr>
          <w:rFonts w:asciiTheme="majorHAnsi" w:hAnsiTheme="majorHAnsi" w:cs="Times New Roman"/>
          <w:color w:val="000000" w:themeColor="text1"/>
        </w:rPr>
        <w:t>Gerontologist</w:t>
      </w:r>
      <w:proofErr w:type="spellEnd"/>
      <w:r w:rsidRPr="000235E1">
        <w:rPr>
          <w:rFonts w:asciiTheme="majorHAnsi" w:hAnsiTheme="majorHAnsi" w:cs="Times New Roman"/>
          <w:color w:val="000000" w:themeColor="text1"/>
        </w:rPr>
        <w:t>, 55(3): 353–359.</w:t>
      </w:r>
    </w:p>
    <w:p w14:paraId="71A5EE3D" w14:textId="77777777" w:rsidR="00E04E99" w:rsidRDefault="00AC315C" w:rsidP="00AC315C">
      <w:pPr>
        <w:autoSpaceDE w:val="0"/>
        <w:spacing w:before="0" w:after="0" w:line="240" w:lineRule="auto"/>
        <w:ind w:left="709" w:hanging="709"/>
      </w:pPr>
      <w:r w:rsidRPr="000235E1">
        <w:rPr>
          <w:rFonts w:asciiTheme="majorHAnsi" w:hAnsiTheme="majorHAnsi" w:cs="Times New Roman"/>
          <w:color w:val="000000" w:themeColor="text1"/>
        </w:rPr>
        <w:t>Zimmermann, Harm-Peer (2013). Alters-Coolness – Gefasstheit und Fähigkeit zur Distanzierung. In: Rentsch, Thomas, Zimmermann, Harm-Peer &amp; Kruse, Andreas (Hrsg.). Altern in unserer Zeit. Frankfurt am Main: Campus, 101–124.</w:t>
      </w:r>
    </w:p>
    <w:sectPr w:rsidR="00E04E99" w:rsidSect="002A12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C"/>
    <w:rsid w:val="00236D6A"/>
    <w:rsid w:val="002A1236"/>
    <w:rsid w:val="002A20E3"/>
    <w:rsid w:val="002E1447"/>
    <w:rsid w:val="003F12E1"/>
    <w:rsid w:val="005E0389"/>
    <w:rsid w:val="007729C2"/>
    <w:rsid w:val="008739F4"/>
    <w:rsid w:val="00924AE1"/>
    <w:rsid w:val="00AC315C"/>
    <w:rsid w:val="00E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6E5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15C"/>
    <w:pPr>
      <w:spacing w:before="200" w:after="200" w:line="276" w:lineRule="auto"/>
    </w:pPr>
    <w:rPr>
      <w:rFonts w:eastAsiaTheme="minorEastAsia"/>
      <w:sz w:val="20"/>
      <w:szCs w:val="20"/>
      <w:lang w:val="de-DE" w:eastAsia="ja-JP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_WISDOM_Hervorhebung"/>
    <w:uiPriority w:val="20"/>
    <w:qFormat/>
    <w:rsid w:val="00AC315C"/>
    <w:rPr>
      <w:caps/>
      <w:color w:val="1F4D78" w:themeColor="accent1" w:themeShade="7F"/>
      <w:spacing w:val="5"/>
    </w:rPr>
  </w:style>
  <w:style w:type="character" w:styleId="Hyperlink">
    <w:name w:val="Hyperlink"/>
    <w:basedOn w:val="Absatz-Standardschriftart"/>
    <w:uiPriority w:val="99"/>
    <w:rsid w:val="00AC315C"/>
    <w:rPr>
      <w:rFonts w:cs="Times New Roman"/>
      <w:color w:val="0000FF"/>
      <w:u w:val="single"/>
    </w:rPr>
  </w:style>
  <w:style w:type="character" w:customStyle="1" w:styleId="f01">
    <w:name w:val="f01"/>
    <w:rsid w:val="00AC315C"/>
    <w:rPr>
      <w:rFonts w:ascii="Courier New" w:hAnsi="Courier New" w:cs="Courier New" w:hint="default"/>
      <w:color w:val="000000"/>
      <w:sz w:val="24"/>
      <w:szCs w:val="24"/>
    </w:rPr>
  </w:style>
  <w:style w:type="character" w:customStyle="1" w:styleId="apple-style-span">
    <w:name w:val="apple-style-span"/>
    <w:rsid w:val="00AC315C"/>
  </w:style>
  <w:style w:type="character" w:customStyle="1" w:styleId="style2">
    <w:name w:val="style_2"/>
    <w:basedOn w:val="Absatz-Standardschriftart"/>
    <w:rsid w:val="00AC315C"/>
    <w:rPr>
      <w:rFonts w:cs="Times New Roman"/>
    </w:rPr>
  </w:style>
  <w:style w:type="paragraph" w:customStyle="1" w:styleId="WW-StandardWeb">
    <w:name w:val="WW-Standard (Web)"/>
    <w:basedOn w:val="Standard"/>
    <w:rsid w:val="00AC3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reference-text">
    <w:name w:val="reference-text"/>
    <w:basedOn w:val="Absatz-Standardschriftart"/>
    <w:rsid w:val="00AC315C"/>
  </w:style>
  <w:style w:type="character" w:customStyle="1" w:styleId="cit-title">
    <w:name w:val="cit-title"/>
    <w:basedOn w:val="Absatz-Standardschriftart"/>
    <w:rsid w:val="00AC315C"/>
  </w:style>
  <w:style w:type="character" w:customStyle="1" w:styleId="cit-sep">
    <w:name w:val="cit-sep"/>
    <w:basedOn w:val="Absatz-Standardschriftart"/>
    <w:rsid w:val="00AC315C"/>
  </w:style>
  <w:style w:type="character" w:customStyle="1" w:styleId="cit-subtitle">
    <w:name w:val="cit-subtitle"/>
    <w:basedOn w:val="Absatz-Standardschriftart"/>
    <w:rsid w:val="00AC315C"/>
  </w:style>
  <w:style w:type="character" w:customStyle="1" w:styleId="site-title">
    <w:name w:val="site-title"/>
    <w:basedOn w:val="Absatz-Standardschriftart"/>
    <w:rsid w:val="00AC315C"/>
  </w:style>
  <w:style w:type="character" w:customStyle="1" w:styleId="cit-print-date">
    <w:name w:val="cit-print-date"/>
    <w:basedOn w:val="Absatz-Standardschriftart"/>
    <w:rsid w:val="00AC315C"/>
  </w:style>
  <w:style w:type="character" w:customStyle="1" w:styleId="cit-vol">
    <w:name w:val="cit-vol"/>
    <w:basedOn w:val="Absatz-Standardschriftart"/>
    <w:rsid w:val="00AC315C"/>
  </w:style>
  <w:style w:type="character" w:customStyle="1" w:styleId="cit-first-page">
    <w:name w:val="cit-first-page"/>
    <w:basedOn w:val="Absatz-Standardschriftart"/>
    <w:rsid w:val="00AC315C"/>
  </w:style>
  <w:style w:type="character" w:customStyle="1" w:styleId="cit-last-page">
    <w:name w:val="cit-last-page"/>
    <w:basedOn w:val="Absatz-Standardschriftart"/>
    <w:rsid w:val="00AC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Petra</cp:lastModifiedBy>
  <cp:revision>2</cp:revision>
  <dcterms:created xsi:type="dcterms:W3CDTF">2016-05-09T09:43:00Z</dcterms:created>
  <dcterms:modified xsi:type="dcterms:W3CDTF">2016-05-09T09:43:00Z</dcterms:modified>
</cp:coreProperties>
</file>